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ttyhpy60qrgh" w:id="0"/>
      <w:bookmarkEnd w:id="0"/>
      <w:r w:rsidDel="00000000" w:rsidR="00000000" w:rsidRPr="00000000">
        <w:rPr>
          <w:b w:val="1"/>
          <w:bCs w:val="1"/>
          <w:sz w:val="46"/>
          <w:szCs w:val="46"/>
          <w:rtl w:val="0"/>
        </w:rPr>
        <w:t xml:space="preserve">Designing Meaningful Learning Experiences Through Technology</w:t>
      </w:r>
    </w:p>
    <w:p w:rsidR="00000000" w:rsidDel="00000000" w:rsidP="00000000" w:rsidRDefault="00000000" w:rsidRPr="00000000" w14:paraId="00000002">
      <w:pPr>
        <w:spacing w:after="240" w:before="240" w:lineRule="auto"/>
        <w:rPr/>
      </w:pPr>
      <w:r w:rsidDel="00000000" w:rsidR="00000000" w:rsidRPr="00000000">
        <w:rPr>
          <w:rtl w:val="0"/>
        </w:rPr>
        <w:t xml:space="preserve">Harrison Keenan</w:t>
        <w:br w:type="textWrapping"/>
        <w:t xml:space="preserve">Pennsylvania State University</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xzvg0nynekgb" w:id="1"/>
      <w:bookmarkEnd w:id="1"/>
      <w:r w:rsidDel="00000000" w:rsidR="00000000" w:rsidRPr="00000000">
        <w:rPr>
          <w:b w:val="1"/>
          <w:bCs w:val="1"/>
          <w:sz w:val="34"/>
          <w:szCs w:val="34"/>
          <w:rtl w:val="0"/>
        </w:rPr>
        <w:t xml:space="preserve">Introduction</w:t>
      </w:r>
    </w:p>
    <w:p w:rsidR="00000000" w:rsidDel="00000000" w:rsidP="00000000" w:rsidRDefault="00000000" w:rsidRPr="00000000" w14:paraId="00000004">
      <w:pPr>
        <w:spacing w:after="240" w:before="240" w:lineRule="auto"/>
        <w:rPr/>
      </w:pPr>
      <w:r w:rsidDel="00000000" w:rsidR="00000000" w:rsidRPr="00000000">
        <w:rPr>
          <w:rtl w:val="0"/>
        </w:rPr>
        <w:t xml:space="preserve">Throughout my teaching experience and graduate coursework, I have learned that technology can be a valuable tool in education, but only when it is used with a clear purpose. Simply adding technology to a lesson does not automatically improve student learning. The readings from Horton (2012), Mott and Wiley (2009), Siemens (2004), and Lave (1991) all explore different ways that learning environments can support student engagement, collaboration, and independence. Although these authors approach learning from different perspectives, they share the idea that effective learning involves more than delivering information. This paper examines their main arguments, evaluates their strengths and limitations, and discusses how their ideas can be applied to my own teaching and future work in learning design.</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wjnnlcy1bz7x" w:id="2"/>
      <w:bookmarkEnd w:id="2"/>
      <w:r w:rsidDel="00000000" w:rsidR="00000000" w:rsidRPr="00000000">
        <w:rPr>
          <w:b w:val="1"/>
          <w:bCs w:val="1"/>
          <w:sz w:val="34"/>
          <w:szCs w:val="34"/>
          <w:rtl w:val="0"/>
        </w:rPr>
        <w:t xml:space="preserve">Summary and Key Concepts</w:t>
      </w:r>
    </w:p>
    <w:p w:rsidR="00000000" w:rsidDel="00000000" w:rsidP="00000000" w:rsidRDefault="00000000" w:rsidRPr="00000000" w14:paraId="00000006">
      <w:pPr>
        <w:spacing w:after="240" w:before="240" w:lineRule="auto"/>
        <w:rPr/>
      </w:pPr>
      <w:r w:rsidDel="00000000" w:rsidR="00000000" w:rsidRPr="00000000">
        <w:rPr>
          <w:rtl w:val="0"/>
        </w:rPr>
        <w:t xml:space="preserve">Horton (2012) emphasizes the importance of designing e-learning experiences around specific learning objectives rather than simply choosing technology that looks interesting. He explains how learning activities should give students opportunities to absorb information, practice skills, and connect their learning to real-world situations. One important takeaway is that instructional designers need to consider what students should be able to accomplish by the end of a lesson before deciding which activities or tools to use.</w:t>
      </w:r>
    </w:p>
    <w:p w:rsidR="00000000" w:rsidDel="00000000" w:rsidP="00000000" w:rsidRDefault="00000000" w:rsidRPr="00000000" w14:paraId="00000007">
      <w:pPr>
        <w:spacing w:after="240" w:before="240" w:lineRule="auto"/>
        <w:rPr/>
      </w:pPr>
      <w:r w:rsidDel="00000000" w:rsidR="00000000" w:rsidRPr="00000000">
        <w:rPr>
          <w:rtl w:val="0"/>
        </w:rPr>
        <w:t xml:space="preserve">Mott and Wiley (2009) examine the limitations of traditional course management systems (CMSs). They argue that these systems can restrict learning by keeping activities and resources within individual courses. Their proposed Open Learning Network would combine the organizational benefits of a CMS with opportunities for students to connect and collaborate beyond the classroom. Similarly, Siemens (2004) questions whether traditional learning management systems provide the flexibility needed for meaningful learning. Both readings suggest that students should have more opportunities to take ownership of their learning.</w:t>
      </w:r>
    </w:p>
    <w:p w:rsidR="00000000" w:rsidDel="00000000" w:rsidP="00000000" w:rsidRDefault="00000000" w:rsidRPr="00000000" w14:paraId="00000008">
      <w:pPr>
        <w:spacing w:after="240" w:before="240" w:lineRule="auto"/>
        <w:rPr/>
      </w:pPr>
      <w:r w:rsidDel="00000000" w:rsidR="00000000" w:rsidRPr="00000000">
        <w:rPr>
          <w:rtl w:val="0"/>
        </w:rPr>
        <w:t xml:space="preserve">Lave (1991) approaches learning from a sociocultural perspective, emphasizing that knowledge develops through participation in communities and everyday activities. Rather than viewing learning as simply receiving information, this perspective highlights the importance of relationships, experiences, and interactions with others. Unlike experimental studies, these readings primarily use conceptual and theoretical approaches to examine learning and educational technology.</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bdg0eru2utxf" w:id="3"/>
      <w:bookmarkEnd w:id="3"/>
      <w:r w:rsidDel="00000000" w:rsidR="00000000" w:rsidRPr="00000000">
        <w:rPr>
          <w:b w:val="1"/>
          <w:bCs w:val="1"/>
          <w:sz w:val="34"/>
          <w:szCs w:val="34"/>
          <w:rtl w:val="0"/>
        </w:rPr>
        <w:t xml:space="preserve">Critical Analysis</w:t>
      </w:r>
    </w:p>
    <w:p w:rsidR="00000000" w:rsidDel="00000000" w:rsidP="00000000" w:rsidRDefault="00000000" w:rsidRPr="00000000" w14:paraId="0000000A">
      <w:pPr>
        <w:spacing w:after="240" w:before="240" w:lineRule="auto"/>
        <w:rPr/>
      </w:pPr>
      <w:r w:rsidDel="00000000" w:rsidR="00000000" w:rsidRPr="00000000">
        <w:rPr>
          <w:rtl w:val="0"/>
        </w:rPr>
        <w:t xml:space="preserve">One strength of these readings is that they challenge educators to think more carefully about how learning actually happens. I particularly agree with Horton (2012) because I have seen how easy it is to focus on using a new technology without fully considering whether it improves the lesson. In my own classroom, I have used tools such as Google Classroom, Lumio, and educational games to encourage participation. However, I have also learned that students can be engaged with an activity without necessarily understanding the material.</w:t>
      </w:r>
    </w:p>
    <w:p w:rsidR="00000000" w:rsidDel="00000000" w:rsidP="00000000" w:rsidRDefault="00000000" w:rsidRPr="00000000" w14:paraId="0000000B">
      <w:pPr>
        <w:spacing w:after="240" w:before="240" w:lineRule="auto"/>
        <w:rPr/>
      </w:pPr>
      <w:r w:rsidDel="00000000" w:rsidR="00000000" w:rsidRPr="00000000">
        <w:rPr>
          <w:rtl w:val="0"/>
        </w:rPr>
        <w:t xml:space="preserve">I also agree with Mott and Wiley (2009) and Siemens (2004) that students benefit from having more control over their learning. However, I think their arguments have some limitations when applied to younger students. Middle school students often need clear directions, structure, and guidance to remain focused. Giving students complete independence within an online learning environment could create additional challenges, especially for students who struggle with organization or technology.</w:t>
      </w:r>
    </w:p>
    <w:p w:rsidR="00000000" w:rsidDel="00000000" w:rsidP="00000000" w:rsidRDefault="00000000" w:rsidRPr="00000000" w14:paraId="0000000C">
      <w:pPr>
        <w:spacing w:after="240" w:before="240" w:lineRule="auto"/>
        <w:rPr/>
      </w:pPr>
      <w:r w:rsidDel="00000000" w:rsidR="00000000" w:rsidRPr="00000000">
        <w:rPr>
          <w:rtl w:val="0"/>
        </w:rPr>
        <w:t xml:space="preserve">Another limitation is that these readings do not fully resolve the practical challenges educators face when implementing their ideas. Schools have to consider student privacy, accessibility, available resources, and curriculum requirements. Additionally, because much of the discussion is theoretical, more classroom-based research would help demonstrate how these approaches work with different age groups and learning needs.</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9092h3yk14qa" w:id="4"/>
      <w:bookmarkEnd w:id="4"/>
      <w:r w:rsidDel="00000000" w:rsidR="00000000" w:rsidRPr="00000000">
        <w:rPr>
          <w:b w:val="1"/>
          <w:bCs w:val="1"/>
          <w:sz w:val="34"/>
          <w:szCs w:val="34"/>
          <w:rtl w:val="0"/>
        </w:rPr>
        <w:t xml:space="preserve">Application to Practice</w:t>
      </w:r>
    </w:p>
    <w:p w:rsidR="00000000" w:rsidDel="00000000" w:rsidP="00000000" w:rsidRDefault="00000000" w:rsidRPr="00000000" w14:paraId="0000000E">
      <w:pPr>
        <w:spacing w:after="240" w:before="240" w:lineRule="auto"/>
        <w:rPr/>
      </w:pPr>
      <w:r w:rsidDel="00000000" w:rsidR="00000000" w:rsidRPr="00000000">
        <w:rPr>
          <w:rtl w:val="0"/>
        </w:rPr>
        <w:t xml:space="preserve">These readings connect directly to how I approach lesson planning. When teaching sixth-grade social studies, I try to give students opportunities to work together, discuss information, and apply what they have learned. For example, during a geography lesson, students could use Google Earth to explore physical features before working in groups to explain how geography influences where people live. This combines Horton's (2012) emphasis on purposeful activities with Lave's (1991) focus on learning through participation.</w:t>
      </w:r>
    </w:p>
    <w:p w:rsidR="00000000" w:rsidDel="00000000" w:rsidP="00000000" w:rsidRDefault="00000000" w:rsidRPr="00000000" w14:paraId="0000000F">
      <w:pPr>
        <w:spacing w:after="240" w:before="240" w:lineRule="auto"/>
        <w:rPr/>
      </w:pPr>
      <w:r w:rsidDel="00000000" w:rsidR="00000000" w:rsidRPr="00000000">
        <w:rPr>
          <w:rtl w:val="0"/>
        </w:rPr>
        <w:t xml:space="preserve">I also see opportunities to improve how I use a CMS such as Canvas. Rather than using it only to post assignments and collect student work, I could create lessons that include discussion boards, interactive activities, and opportunities for students to receive feedback. Students could move through some activities independently while still having access to teacher support.</w:t>
      </w:r>
    </w:p>
    <w:p w:rsidR="00000000" w:rsidDel="00000000" w:rsidP="00000000" w:rsidRDefault="00000000" w:rsidRPr="00000000" w14:paraId="00000010">
      <w:pPr>
        <w:spacing w:after="240" w:before="240" w:lineRule="auto"/>
        <w:rPr/>
      </w:pPr>
      <w:r w:rsidDel="00000000" w:rsidR="00000000" w:rsidRPr="00000000">
        <w:rPr>
          <w:rtl w:val="0"/>
        </w:rPr>
        <w:t xml:space="preserve">One challenge would be balancing student independence with the structure needed in a middle school classroom. I would need to provide clear expectations, model how to use the technology, and regularly check student understanding. I believe this balance would allow students to become more independent without feeling overwhelmed.</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slmt5lpyj3gy" w:id="5"/>
      <w:bookmarkEnd w:id="5"/>
      <w:r w:rsidDel="00000000" w:rsidR="00000000" w:rsidRPr="00000000">
        <w:rPr>
          <w:b w:val="1"/>
          <w:bCs w:val="1"/>
          <w:sz w:val="34"/>
          <w:szCs w:val="34"/>
          <w:rtl w:val="0"/>
        </w:rPr>
        <w:t xml:space="preserve">Conclusion</w:t>
      </w:r>
    </w:p>
    <w:p w:rsidR="00000000" w:rsidDel="00000000" w:rsidP="00000000" w:rsidRDefault="00000000" w:rsidRPr="00000000" w14:paraId="00000012">
      <w:pPr>
        <w:spacing w:after="240" w:before="240" w:lineRule="auto"/>
        <w:rPr/>
      </w:pPr>
      <w:r w:rsidDel="00000000" w:rsidR="00000000" w:rsidRPr="00000000">
        <w:rPr>
          <w:rtl w:val="0"/>
        </w:rPr>
        <w:t xml:space="preserve">Overall, these readings have reinforced my belief that effective learning design should focus on students rather than technology. Horton (2012) highlights the importance of clear objectives and meaningful activities, while Mott and Wiley (2009) and Siemens (2004) encourage educators to reconsider the limitations of traditional online learning environments. Lave (1991) adds the importance of social interaction and participation. As I continue developing my skills in learning design, I want to create learning experiences that are organized, engaging, and flexible enough to meet different student needs. Technology should support meaningful learning, not become the main focus of the lesson.</w:t>
      </w:r>
    </w:p>
    <w:p w:rsidR="00000000" w:rsidDel="00000000" w:rsidP="00000000" w:rsidRDefault="00000000" w:rsidRPr="00000000" w14:paraId="00000013">
      <w:pPr>
        <w:spacing w:after="240" w:before="240" w:lineRule="auto"/>
        <w:rPr/>
      </w:pP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rtl w:val="0"/>
        </w:rPr>
      </w:r>
    </w:p>
    <w:p w:rsidR="00000000" w:rsidDel="00000000" w:rsidP="00000000" w:rsidRDefault="00000000" w:rsidRPr="00000000" w14:paraId="00000019">
      <w:pPr>
        <w:spacing w:after="240" w:before="240" w:lineRule="auto"/>
        <w:rPr/>
      </w:pPr>
      <w:r w:rsidDel="00000000" w:rsidR="00000000" w:rsidRPr="00000000">
        <w:rPr>
          <w:rtl w:val="0"/>
        </w:rPr>
      </w:r>
    </w:p>
    <w:p w:rsidR="00000000" w:rsidDel="00000000" w:rsidP="00000000" w:rsidRDefault="00000000" w:rsidRPr="00000000" w14:paraId="0000001A">
      <w:pPr>
        <w:spacing w:after="240" w:before="240" w:lineRule="auto"/>
        <w:rPr/>
      </w:pPr>
      <w:r w:rsidDel="00000000" w:rsidR="00000000" w:rsidRPr="00000000">
        <w:rPr>
          <w:rtl w:val="0"/>
        </w:rPr>
      </w:r>
    </w:p>
    <w:p w:rsidR="00000000" w:rsidDel="00000000" w:rsidP="00000000" w:rsidRDefault="00000000" w:rsidRPr="00000000" w14:paraId="0000001B">
      <w:pPr>
        <w:spacing w:after="240" w:before="240" w:lineRule="auto"/>
        <w:rPr/>
      </w:pPr>
      <w:r w:rsidDel="00000000" w:rsidR="00000000" w:rsidRPr="00000000">
        <w:rPr>
          <w:rtl w:val="0"/>
        </w:rPr>
      </w:r>
    </w:p>
    <w:p w:rsidR="00000000" w:rsidDel="00000000" w:rsidP="00000000" w:rsidRDefault="00000000" w:rsidRPr="00000000" w14:paraId="0000001C">
      <w:pPr>
        <w:spacing w:after="240" w:before="240" w:lineRule="auto"/>
        <w:rPr/>
      </w:pPr>
      <w:r w:rsidDel="00000000" w:rsidR="00000000" w:rsidRPr="00000000">
        <w:rPr>
          <w:rtl w:val="0"/>
        </w:rPr>
      </w:r>
    </w:p>
    <w:p w:rsidR="00000000" w:rsidDel="00000000" w:rsidP="00000000" w:rsidRDefault="00000000" w:rsidRPr="00000000" w14:paraId="0000001D">
      <w:pPr>
        <w:spacing w:after="240" w:before="240" w:lineRule="auto"/>
        <w:rPr/>
      </w:pPr>
      <w:r w:rsidDel="00000000" w:rsidR="00000000" w:rsidRPr="00000000">
        <w:rPr>
          <w:rtl w:val="0"/>
        </w:rPr>
      </w:r>
    </w:p>
    <w:p w:rsidR="00000000" w:rsidDel="00000000" w:rsidP="00000000" w:rsidRDefault="00000000" w:rsidRPr="00000000" w14:paraId="0000001E">
      <w:pPr>
        <w:spacing w:after="240" w:before="240" w:lineRule="auto"/>
        <w:rPr/>
      </w:pPr>
      <w:r w:rsidDel="00000000" w:rsidR="00000000" w:rsidRPr="00000000">
        <w:rPr>
          <w:rtl w:val="0"/>
        </w:rPr>
      </w:r>
    </w:p>
    <w:p w:rsidR="00000000" w:rsidDel="00000000" w:rsidP="00000000" w:rsidRDefault="00000000" w:rsidRPr="00000000" w14:paraId="0000001F">
      <w:pPr>
        <w:spacing w:after="240" w:before="240" w:lineRule="auto"/>
        <w:rPr/>
      </w:pPr>
      <w:r w:rsidDel="00000000" w:rsidR="00000000" w:rsidRPr="00000000">
        <w:rPr>
          <w:rtl w:val="0"/>
        </w:rPr>
      </w:r>
    </w:p>
    <w:p w:rsidR="00000000" w:rsidDel="00000000" w:rsidP="00000000" w:rsidRDefault="00000000" w:rsidRPr="00000000" w14:paraId="00000020">
      <w:pPr>
        <w:spacing w:after="240" w:before="240" w:lineRule="auto"/>
        <w:rPr/>
      </w:pPr>
      <w:r w:rsidDel="00000000" w:rsidR="00000000" w:rsidRPr="00000000">
        <w:rPr>
          <w:rtl w:val="0"/>
        </w:rPr>
      </w:r>
    </w:p>
    <w:p w:rsidR="00000000" w:rsidDel="00000000" w:rsidP="00000000" w:rsidRDefault="00000000" w:rsidRPr="00000000" w14:paraId="00000021">
      <w:pPr>
        <w:spacing w:after="240" w:before="240" w:lineRule="auto"/>
        <w:rPr/>
      </w:pPr>
      <w:r w:rsidDel="00000000" w:rsidR="00000000" w:rsidRPr="00000000">
        <w:rPr>
          <w:rtl w:val="0"/>
        </w:rPr>
      </w:r>
    </w:p>
    <w:p w:rsidR="00000000" w:rsidDel="00000000" w:rsidP="00000000" w:rsidRDefault="00000000" w:rsidRPr="00000000" w14:paraId="00000022">
      <w:pPr>
        <w:spacing w:after="240" w:before="240" w:lineRule="auto"/>
        <w:rPr/>
      </w:pP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r>
    </w:p>
    <w:p w:rsidR="00000000" w:rsidDel="00000000" w:rsidP="00000000" w:rsidRDefault="00000000" w:rsidRPr="00000000" w14:paraId="00000024">
      <w:pPr>
        <w:spacing w:after="240" w:before="240" w:lineRule="auto"/>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4acx8vjklsk0" w:id="6"/>
      <w:bookmarkEnd w:id="6"/>
      <w:r w:rsidDel="00000000" w:rsidR="00000000" w:rsidRPr="00000000">
        <w:rPr>
          <w:b w:val="1"/>
          <w:bCs w:val="1"/>
          <w:sz w:val="34"/>
          <w:szCs w:val="34"/>
          <w:rtl w:val="0"/>
        </w:rPr>
        <w:t xml:space="preserve">References</w:t>
      </w:r>
    </w:p>
    <w:p w:rsidR="00000000" w:rsidDel="00000000" w:rsidP="00000000" w:rsidRDefault="00000000" w:rsidRPr="00000000" w14:paraId="00000026">
      <w:pPr>
        <w:spacing w:after="240" w:before="240" w:lineRule="auto"/>
        <w:rPr/>
      </w:pPr>
      <w:r w:rsidDel="00000000" w:rsidR="00000000" w:rsidRPr="00000000">
        <w:rPr>
          <w:rtl w:val="0"/>
        </w:rPr>
        <w:t xml:space="preserve">Horton, W. (2012). </w:t>
      </w:r>
      <w:r w:rsidDel="00000000" w:rsidR="00000000" w:rsidRPr="00000000">
        <w:rPr>
          <w:i w:val="1"/>
          <w:iCs w:val="1"/>
          <w:rtl w:val="0"/>
        </w:rPr>
        <w:t xml:space="preserve">E-learning by design</w:t>
      </w:r>
      <w:r w:rsidDel="00000000" w:rsidR="00000000" w:rsidRPr="00000000">
        <w:rPr>
          <w:rtl w:val="0"/>
        </w:rPr>
        <w:t xml:space="preserve"> (2nd ed.). Pfeiffer.</w:t>
      </w:r>
    </w:p>
    <w:p w:rsidR="00000000" w:rsidDel="00000000" w:rsidP="00000000" w:rsidRDefault="00000000" w:rsidRPr="00000000" w14:paraId="00000027">
      <w:pPr>
        <w:spacing w:after="240" w:before="240" w:lineRule="auto"/>
        <w:rPr/>
      </w:pPr>
      <w:r w:rsidDel="00000000" w:rsidR="00000000" w:rsidRPr="00000000">
        <w:rPr>
          <w:rtl w:val="0"/>
        </w:rPr>
        <w:t xml:space="preserve">Lave, J. (1991). Situating learning in communities of practice. In L. B. Resnick, J. M. Levine, &amp; S. D. Teasley (Eds.), </w:t>
      </w:r>
      <w:r w:rsidDel="00000000" w:rsidR="00000000" w:rsidRPr="00000000">
        <w:rPr>
          <w:i w:val="1"/>
          <w:iCs w:val="1"/>
          <w:rtl w:val="0"/>
        </w:rPr>
        <w:t xml:space="preserve">Perspectives on socially shared cognition</w:t>
      </w:r>
      <w:r w:rsidDel="00000000" w:rsidR="00000000" w:rsidRPr="00000000">
        <w:rPr>
          <w:rtl w:val="0"/>
        </w:rPr>
        <w:t xml:space="preserve"> (pp. 63–82). American Psychological Association.</w:t>
      </w:r>
    </w:p>
    <w:p w:rsidR="00000000" w:rsidDel="00000000" w:rsidP="00000000" w:rsidRDefault="00000000" w:rsidRPr="00000000" w14:paraId="00000028">
      <w:pPr>
        <w:spacing w:after="240" w:before="240" w:lineRule="auto"/>
        <w:rPr/>
      </w:pPr>
      <w:r w:rsidDel="00000000" w:rsidR="00000000" w:rsidRPr="00000000">
        <w:rPr>
          <w:rtl w:val="0"/>
        </w:rPr>
        <w:t xml:space="preserve">Mott, J., &amp; Wiley, D. (2009). Open for learning: The CMS and the open learning network. </w:t>
      </w:r>
      <w:r w:rsidDel="00000000" w:rsidR="00000000" w:rsidRPr="00000000">
        <w:rPr>
          <w:i w:val="1"/>
          <w:iCs w:val="1"/>
          <w:rtl w:val="0"/>
        </w:rPr>
        <w:t xml:space="preserve">In Education, 15</w:t>
      </w:r>
      <w:r w:rsidDel="00000000" w:rsidR="00000000" w:rsidRPr="00000000">
        <w:rPr>
          <w:rtl w:val="0"/>
        </w:rPr>
        <w:t xml:space="preserve">(2).</w:t>
      </w:r>
    </w:p>
    <w:p w:rsidR="00000000" w:rsidDel="00000000" w:rsidP="00000000" w:rsidRDefault="00000000" w:rsidRPr="00000000" w14:paraId="00000029">
      <w:pPr>
        <w:spacing w:after="240" w:before="240" w:lineRule="auto"/>
        <w:rPr/>
      </w:pPr>
      <w:r w:rsidDel="00000000" w:rsidR="00000000" w:rsidRPr="00000000">
        <w:rPr>
          <w:rtl w:val="0"/>
        </w:rPr>
        <w:t xml:space="preserve">Siemens, G. (2004). Learning management systems: The wrong place to start learning. </w:t>
      </w:r>
      <w:r w:rsidDel="00000000" w:rsidR="00000000" w:rsidRPr="00000000">
        <w:rPr>
          <w:i w:val="1"/>
          <w:iCs w:val="1"/>
          <w:rtl w:val="0"/>
        </w:rPr>
        <w:t xml:space="preserve">Elearnspace</w:t>
      </w:r>
      <w:r w:rsidDel="00000000" w:rsidR="00000000" w:rsidRPr="00000000">
        <w:rPr>
          <w:rtl w:val="0"/>
        </w:rPr>
        <w:t xml:space="preserve">.</w:t>
      </w:r>
    </w:p>
    <w:p w:rsidR="00000000" w:rsidDel="00000000" w:rsidP="00000000" w:rsidRDefault="00000000" w:rsidRPr="00000000" w14:paraId="0000002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